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color w:val="595959"/>
          <w:sz w:val="32"/>
          <w:szCs w:val="32"/>
          <w:highlight w:val="white"/>
        </w:rPr>
      </w:pPr>
      <w:r w:rsidDel="00000000" w:rsidR="00000000" w:rsidRPr="00000000">
        <w:rPr>
          <w:rFonts w:ascii="Arial Narrow" w:cs="Arial Narrow" w:eastAsia="Arial Narrow" w:hAnsi="Arial Narrow"/>
          <w:b w:val="1"/>
          <w:color w:val="595959"/>
          <w:sz w:val="36"/>
          <w:szCs w:val="36"/>
          <w:highlight w:val="white"/>
          <w:rtl w:val="0"/>
        </w:rPr>
        <w:t xml:space="preserve">CAF apoyará a instituciones públicas de América Latina y el Caribe para evaluar el impacto de sus políticas</w:t>
      </w:r>
      <w:r w:rsidDel="00000000" w:rsidR="00000000" w:rsidRPr="00000000">
        <w:rPr>
          <w:rFonts w:ascii="Arial Narrow" w:cs="Arial Narrow" w:eastAsia="Arial Narrow" w:hAnsi="Arial Narrow"/>
          <w:b w:val="1"/>
          <w:color w:val="595959"/>
          <w:sz w:val="32"/>
          <w:szCs w:val="32"/>
          <w:highlight w:val="white"/>
          <w:rtl w:val="0"/>
        </w:rPr>
        <w:t xml:space="preserve"> </w:t>
      </w:r>
    </w:p>
    <w:p w:rsidR="00000000" w:rsidDel="00000000" w:rsidP="00000000" w:rsidRDefault="00000000" w:rsidRPr="00000000" w14:paraId="00000002">
      <w:pPr>
        <w:jc w:val="center"/>
        <w:rPr>
          <w:rFonts w:ascii="Arial Narrow" w:cs="Arial Narrow" w:eastAsia="Arial Narrow" w:hAnsi="Arial Narrow"/>
          <w:b w:val="1"/>
          <w:color w:val="595959"/>
          <w:sz w:val="32"/>
          <w:szCs w:val="32"/>
          <w:highlight w:val="white"/>
        </w:rPr>
      </w:pPr>
      <w:r w:rsidDel="00000000" w:rsidR="00000000" w:rsidRPr="00000000">
        <w:rPr>
          <w:rFonts w:ascii="Arial Narrow" w:cs="Arial Narrow" w:eastAsia="Arial Narrow" w:hAnsi="Arial Narrow"/>
          <w:b w:val="1"/>
          <w:color w:val="595959"/>
          <w:sz w:val="32"/>
          <w:szCs w:val="32"/>
          <w:highlight w:val="white"/>
        </w:rPr>
        <w:drawing>
          <wp:inline distB="114300" distT="114300" distL="114300" distR="114300">
            <wp:extent cx="5715000" cy="268605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26860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1"/>
          <w:color w:val="595959"/>
          <w:sz w:val="32"/>
          <w:szCs w:val="32"/>
          <w:highlight w:val="white"/>
        </w:rPr>
      </w:pPr>
      <w:r w:rsidDel="00000000" w:rsidR="00000000" w:rsidRPr="00000000">
        <w:rPr>
          <w:rFonts w:ascii="Arial Narrow" w:cs="Arial Narrow" w:eastAsia="Arial Narrow" w:hAnsi="Arial Narrow"/>
          <w:b w:val="1"/>
          <w:color w:val="595959"/>
          <w:sz w:val="32"/>
          <w:szCs w:val="32"/>
          <w:highlight w:val="white"/>
          <w:rtl w:val="0"/>
        </w:rPr>
        <w:t xml:space="preserve"> </w:t>
      </w:r>
    </w:p>
    <w:p w:rsidR="00000000" w:rsidDel="00000000" w:rsidP="00000000" w:rsidRDefault="00000000" w:rsidRPr="00000000" w14:paraId="00000004">
      <w:pPr>
        <w:shd w:fill="ffffff" w:val="clear"/>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Hasta el 30 de junio estará abierta la Convocatoria Internacional CAF dirigida a instituciones públicas de América Latina y el Caribe interesadas en recibir apoyo técnico y logístico para evaluar el impacto de sus políticas públicas. Instituciones de Argentina, Brasil, Perú, Chile, Colombia, Ecuador y Uruguay ya están avanzando junto al equipo de CAF para mejorar sus políticas públicas.</w:t>
      </w:r>
    </w:p>
    <w:p w:rsidR="00000000" w:rsidDel="00000000" w:rsidP="00000000" w:rsidRDefault="00000000" w:rsidRPr="00000000" w14:paraId="00000005">
      <w:pPr>
        <w:shd w:fill="ffffff" w:val="clear"/>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 </w:t>
      </w:r>
    </w:p>
    <w:p w:rsidR="00000000" w:rsidDel="00000000" w:rsidP="00000000" w:rsidRDefault="00000000" w:rsidRPr="00000000" w14:paraId="00000006">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808080"/>
          <w:sz w:val="24"/>
          <w:szCs w:val="24"/>
          <w:rtl w:val="0"/>
        </w:rPr>
        <w:t xml:space="preserve">(</w:t>
      </w:r>
      <w:r w:rsidDel="00000000" w:rsidR="00000000" w:rsidRPr="00000000">
        <w:rPr>
          <w:rFonts w:ascii="Arial Narrow" w:cs="Arial Narrow" w:eastAsia="Arial Narrow" w:hAnsi="Arial Narrow"/>
          <w:b w:val="1"/>
          <w:color w:val="808080"/>
          <w:sz w:val="24"/>
          <w:szCs w:val="24"/>
          <w:rtl w:val="0"/>
        </w:rPr>
        <w:t xml:space="preserve">Ciudad de México</w:t>
      </w:r>
      <w:r w:rsidDel="00000000" w:rsidR="00000000" w:rsidRPr="00000000">
        <w:rPr>
          <w:rFonts w:ascii="Arial Narrow" w:cs="Arial Narrow" w:eastAsia="Arial Narrow" w:hAnsi="Arial Narrow"/>
          <w:color w:val="808080"/>
          <w:sz w:val="24"/>
          <w:szCs w:val="24"/>
          <w:rtl w:val="0"/>
        </w:rPr>
        <w:t xml:space="preserve">, 31 de mayo de 2019)- </w:t>
      </w:r>
      <w:r w:rsidDel="00000000" w:rsidR="00000000" w:rsidRPr="00000000">
        <w:rPr>
          <w:rFonts w:ascii="Arial Narrow" w:cs="Arial Narrow" w:eastAsia="Arial Narrow" w:hAnsi="Arial Narrow"/>
          <w:color w:val="222222"/>
          <w:sz w:val="24"/>
          <w:szCs w:val="24"/>
          <w:rtl w:val="0"/>
        </w:rPr>
        <w:t xml:space="preserve"> Más de 200 postulaciones se esperan en la III Convocatoria Internacional de Evaluaciones de Impacto para una #MejorGestión liderada por CAF –banco de desarrollo de América Latina, con el apoyo de J-PAL LAC –Oficina Regional del Abdul Latif Jameel Poverty Action Latinoamérica y el Caribe- y del CLAD (Centro Latinoamericano de Administración para el Desarrollo), que estará abierta hasta el 30 de junio y seleccionará 5 propuestas para recibir apoyo técnico y logístico para el diseño e implementación de evaluaciones de impacto de la más alta rigurosidad científica.</w:t>
      </w:r>
    </w:p>
    <w:p w:rsidR="00000000" w:rsidDel="00000000" w:rsidP="00000000" w:rsidRDefault="00000000" w:rsidRPr="00000000" w14:paraId="00000007">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8">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Programas relacionados con salud, educación, trabajo, seguridad, tecnología, maternidad, agricultura, transporte, emprendimiento, inclusión financiera, recaudación tributaria, pymes, han sido seleccionados en las convocatorias realizadas en 2017 y 2018, provenientes de Argentina, Brasil, Chile, Colombia Ecuador, Perú y Uruguay.</w:t>
      </w:r>
    </w:p>
    <w:p w:rsidR="00000000" w:rsidDel="00000000" w:rsidP="00000000" w:rsidRDefault="00000000" w:rsidRPr="00000000" w14:paraId="00000009">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A">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Uno de los casos seleccionados en la convocatoria anterior es el de un investigador de la Pontificia Universidad Católica que en alianza con el Departamento de Salud de la Municipalidad de Huechuraba de Santiago de Chile presentó un proyecto de entrega de información personalizada y sencilla a pacientes con enfermedades crónicas. Este programa, dirigido a pacientes con diabetes y/o hipertensión, consiste en la entrega de planillas de resultados de pruebas periódicas de control con un formato más amigable a la ficha que actualmente se entrega que, además, incluye consejos e información relevante para el paciente.</w:t>
      </w:r>
    </w:p>
    <w:p w:rsidR="00000000" w:rsidDel="00000000" w:rsidP="00000000" w:rsidRDefault="00000000" w:rsidRPr="00000000" w14:paraId="0000000B">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C">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Las propuestas de evaluación pueden enfocarse en el impacto de una política o programa sobre sus beneficiarios, o en el impacto de un cambio de gestión destinado a mejorar un proceso de la institución o de una política particular. Se priorizarán proyectos en las áreas de: infraestructura, competitividad, productividad, regulación e inclusión financiera, inclusión social, educación, seguridad alimentaria, e innovación digital del Estado con énfasis en gobierno digital, innovación pública y datos abiertos, e integridad pública, transparencia y contrataciones públicas.</w:t>
      </w:r>
    </w:p>
    <w:p w:rsidR="00000000" w:rsidDel="00000000" w:rsidP="00000000" w:rsidRDefault="00000000" w:rsidRPr="00000000" w14:paraId="0000000D">
      <w:pPr>
        <w:shd w:fill="ffffff" w:val="clear"/>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color w:val="222222"/>
          <w:sz w:val="24"/>
          <w:szCs w:val="24"/>
          <w:rtl w:val="0"/>
        </w:rPr>
        <w:t xml:space="preserve"> </w:t>
      </w:r>
    </w:p>
    <w:p w:rsidR="00000000" w:rsidDel="00000000" w:rsidP="00000000" w:rsidRDefault="00000000" w:rsidRPr="00000000" w14:paraId="0000000E">
      <w:pPr>
        <w:shd w:fill="ffffff" w:val="clear"/>
        <w:jc w:val="both"/>
        <w:rPr>
          <w:rFonts w:ascii="Arial Narrow" w:cs="Arial Narrow" w:eastAsia="Arial Narrow" w:hAnsi="Arial Narrow"/>
          <w:color w:val="0563c1"/>
          <w:sz w:val="24"/>
          <w:szCs w:val="24"/>
        </w:rPr>
      </w:pPr>
      <w:r w:rsidDel="00000000" w:rsidR="00000000" w:rsidRPr="00000000">
        <w:rPr>
          <w:rFonts w:ascii="Arial Narrow" w:cs="Arial Narrow" w:eastAsia="Arial Narrow" w:hAnsi="Arial Narrow"/>
          <w:sz w:val="24"/>
          <w:szCs w:val="24"/>
          <w:rtl w:val="0"/>
        </w:rPr>
        <w:t xml:space="preserve">Para postularse y obtener más información los invitamos a visitar </w:t>
      </w:r>
      <w:hyperlink r:id="rId7">
        <w:r w:rsidDel="00000000" w:rsidR="00000000" w:rsidRPr="00000000">
          <w:rPr>
            <w:rFonts w:ascii="Arial Narrow" w:cs="Arial Narrow" w:eastAsia="Arial Narrow" w:hAnsi="Arial Narrow"/>
            <w:color w:val="1155cc"/>
            <w:sz w:val="24"/>
            <w:szCs w:val="24"/>
            <w:u w:val="single"/>
            <w:rtl w:val="0"/>
          </w:rPr>
          <w:t xml:space="preserve">la página de la convocatoria</w:t>
        </w:r>
      </w:hyperlink>
      <w:r w:rsidDel="00000000" w:rsidR="00000000" w:rsidRPr="00000000">
        <w:rPr>
          <w:rFonts w:ascii="Arial Narrow" w:cs="Arial Narrow" w:eastAsia="Arial Narrow" w:hAnsi="Arial Narrow"/>
          <w:color w:val="0563c1"/>
          <w:sz w:val="24"/>
          <w:szCs w:val="24"/>
          <w:rtl w:val="0"/>
        </w:rPr>
        <w:t xml:space="preserve">.</w:t>
      </w:r>
    </w:p>
    <w:p w:rsidR="00000000" w:rsidDel="00000000" w:rsidP="00000000" w:rsidRDefault="00000000" w:rsidRPr="00000000" w14:paraId="0000000F">
      <w:pPr>
        <w:shd w:fill="ffffff" w:val="clea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10">
      <w:pPr>
        <w:shd w:fill="ffffff" w:val="clear"/>
        <w:jc w:val="both"/>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w:t>
      </w:r>
      <w:r w:rsidDel="00000000" w:rsidR="00000000" w:rsidRPr="00000000">
        <w:rPr>
          <w:rFonts w:ascii="Arial Narrow" w:cs="Arial Narrow" w:eastAsia="Arial Narrow" w:hAnsi="Arial Narrow"/>
          <w:sz w:val="20"/>
          <w:szCs w:val="20"/>
        </w:rPr>
        <w:drawing>
          <wp:inline distB="114300" distT="114300" distL="114300" distR="114300">
            <wp:extent cx="5734050" cy="25400"/>
            <wp:effectExtent b="0" l="0" r="0" t="0"/>
            <wp:docPr descr="Conector recto de flecha 1" id="1" name="image1.png"/>
            <a:graphic>
              <a:graphicData uri="http://schemas.openxmlformats.org/drawingml/2006/picture">
                <pic:pic>
                  <pic:nvPicPr>
                    <pic:cNvPr descr="Conector recto de flecha 1" id="0" name="image1.png"/>
                    <pic:cNvPicPr preferRelativeResize="0"/>
                  </pic:nvPicPr>
                  <pic:blipFill>
                    <a:blip r:embed="rId8"/>
                    <a:srcRect b="0" l="0" r="0" t="0"/>
                    <a:stretch>
                      <a:fillRect/>
                    </a:stretch>
                  </pic:blipFill>
                  <pic:spPr>
                    <a:xfrm>
                      <a:off x="0" y="0"/>
                      <a:ext cx="5734050" cy="25400"/>
                    </a:xfrm>
                    <a:prstGeom prst="rect"/>
                    <a:ln/>
                  </pic:spPr>
                </pic:pic>
              </a:graphicData>
            </a:graphic>
          </wp:inline>
        </w:drawing>
      </w:r>
      <w:r w:rsidDel="00000000" w:rsidR="00000000" w:rsidRPr="00000000">
        <w:rPr>
          <w:rFonts w:ascii="Arial Narrow" w:cs="Arial Narrow" w:eastAsia="Arial Narrow" w:hAnsi="Arial Narrow"/>
          <w:sz w:val="20"/>
          <w:szCs w:val="20"/>
          <w:rtl w:val="0"/>
        </w:rPr>
        <w:t xml:space="preserve">financiamiento multilateral y un importante generador de conocimiento para la región. Más información en </w:t>
      </w:r>
      <w:r w:rsidDel="00000000" w:rsidR="00000000" w:rsidRPr="00000000">
        <w:fldChar w:fldCharType="begin"/>
        <w:instrText xml:space="preserve"> HYPERLINK "http://www.caf.com/" </w:instrText>
        <w:fldChar w:fldCharType="separate"/>
      </w:r>
      <w:r w:rsidDel="00000000" w:rsidR="00000000" w:rsidRPr="00000000">
        <w:rPr>
          <w:rFonts w:ascii="Arial Narrow" w:cs="Arial Narrow" w:eastAsia="Arial Narrow" w:hAnsi="Arial Narrow"/>
          <w:sz w:val="20"/>
          <w:szCs w:val="20"/>
          <w:u w:val="single"/>
          <w:rtl w:val="0"/>
        </w:rPr>
        <w:t xml:space="preserve">www.caf.com</w:t>
      </w:r>
    </w:p>
    <w:p w:rsidR="00000000" w:rsidDel="00000000" w:rsidP="00000000" w:rsidRDefault="00000000" w:rsidRPr="00000000" w14:paraId="00000011">
      <w:pPr>
        <w:shd w:fill="ffffff" w:val="clear"/>
        <w:jc w:val="both"/>
        <w:rPr>
          <w:rFonts w:ascii="Arial Narrow" w:cs="Arial Narrow" w:eastAsia="Arial Narrow" w:hAnsi="Arial Narrow"/>
          <w:color w:val="0000ff"/>
          <w:sz w:val="20"/>
          <w:szCs w:val="20"/>
        </w:rPr>
      </w:pPr>
      <w:r w:rsidDel="00000000" w:rsidR="00000000" w:rsidRPr="00000000">
        <w:fldChar w:fldCharType="end"/>
      </w:r>
      <w:r w:rsidDel="00000000" w:rsidR="00000000" w:rsidRPr="00000000">
        <w:rPr>
          <w:rFonts w:ascii="Arial Narrow" w:cs="Arial Narrow" w:eastAsia="Arial Narrow" w:hAnsi="Arial Narrow"/>
          <w:sz w:val="20"/>
          <w:szCs w:val="20"/>
          <w:rtl w:val="0"/>
        </w:rPr>
        <w:t xml:space="preserve">CAF, Dirección de Comunicación Estratégica, </w:t>
      </w:r>
      <w:r w:rsidDel="00000000" w:rsidR="00000000" w:rsidRPr="00000000">
        <w:rPr>
          <w:rFonts w:ascii="Arial Narrow" w:cs="Arial Narrow" w:eastAsia="Arial Narrow" w:hAnsi="Arial Narrow"/>
          <w:color w:val="0000ff"/>
          <w:sz w:val="20"/>
          <w:szCs w:val="20"/>
          <w:rtl w:val="0"/>
        </w:rPr>
        <w:t xml:space="preserve">prensa@caf.com</w:t>
      </w:r>
    </w:p>
    <w:p w:rsidR="00000000" w:rsidDel="00000000" w:rsidP="00000000" w:rsidRDefault="00000000" w:rsidRPr="00000000" w14:paraId="00000012">
      <w:pPr>
        <w:spacing w:after="200" w:line="244.63636363636363" w:lineRule="auto"/>
        <w:rPr>
          <w:rFonts w:ascii="Arial Narrow" w:cs="Arial Narrow" w:eastAsia="Arial Narrow" w:hAnsi="Arial Narrow"/>
          <w:color w:val="1155cc"/>
          <w:sz w:val="20"/>
          <w:szCs w:val="20"/>
          <w:highlight w:val="white"/>
          <w:u w:val="single"/>
        </w:rPr>
      </w:pPr>
      <w:r w:rsidDel="00000000" w:rsidR="00000000" w:rsidRPr="00000000">
        <w:rPr>
          <w:rFonts w:ascii="Arial Narrow" w:cs="Arial Narrow" w:eastAsia="Arial Narrow" w:hAnsi="Arial Narrow"/>
          <w:sz w:val="20"/>
          <w:szCs w:val="20"/>
          <w:highlight w:val="white"/>
          <w:rtl w:val="0"/>
        </w:rPr>
        <w:t xml:space="preserve">Encuéntrenos en: Facebook: </w:t>
      </w:r>
      <w:hyperlink r:id="rId9">
        <w:r w:rsidDel="00000000" w:rsidR="00000000" w:rsidRPr="00000000">
          <w:rPr>
            <w:rFonts w:ascii="Arial Narrow" w:cs="Arial Narrow" w:eastAsia="Arial Narrow" w:hAnsi="Arial Narrow"/>
            <w:color w:val="0000ff"/>
            <w:sz w:val="20"/>
            <w:szCs w:val="20"/>
            <w:highlight w:val="white"/>
            <w:u w:val="single"/>
            <w:rtl w:val="0"/>
          </w:rPr>
          <w:t xml:space="preserve">CAF.America.Latina</w:t>
        </w:r>
      </w:hyperlink>
      <w:r w:rsidDel="00000000" w:rsidR="00000000" w:rsidRPr="00000000">
        <w:rPr>
          <w:rFonts w:ascii="Arial Narrow" w:cs="Arial Narrow" w:eastAsia="Arial Narrow" w:hAnsi="Arial Narrow"/>
          <w:sz w:val="20"/>
          <w:szCs w:val="20"/>
          <w:highlight w:val="white"/>
          <w:rtl w:val="0"/>
        </w:rPr>
        <w:t xml:space="preserve"> / Twitter: </w:t>
      </w:r>
      <w:r w:rsidDel="00000000" w:rsidR="00000000" w:rsidRPr="00000000">
        <w:fldChar w:fldCharType="begin"/>
        <w:instrText xml:space="preserve"> HYPERLINK "https://twitter.com/AgendaCAF" </w:instrText>
        <w:fldChar w:fldCharType="separate"/>
      </w:r>
      <w:r w:rsidDel="00000000" w:rsidR="00000000" w:rsidRPr="00000000">
        <w:rPr>
          <w:rFonts w:ascii="Arial Narrow" w:cs="Arial Narrow" w:eastAsia="Arial Narrow" w:hAnsi="Arial Narrow"/>
          <w:color w:val="1155cc"/>
          <w:sz w:val="20"/>
          <w:szCs w:val="20"/>
          <w:highlight w:val="white"/>
          <w:u w:val="single"/>
          <w:rtl w:val="0"/>
        </w:rPr>
        <w:t xml:space="preserve">@AgendaCAF</w:t>
      </w:r>
    </w:p>
    <w:p w:rsidR="00000000" w:rsidDel="00000000" w:rsidP="00000000" w:rsidRDefault="00000000" w:rsidRPr="00000000" w14:paraId="00000013">
      <w:pPr>
        <w:spacing w:line="275.9994" w:lineRule="auto"/>
        <w:rPr>
          <w:rFonts w:ascii="Arial Narrow" w:cs="Arial Narrow" w:eastAsia="Arial Narrow" w:hAnsi="Arial Narrow"/>
          <w:sz w:val="20"/>
          <w:szCs w:val="20"/>
        </w:rPr>
      </w:pPr>
      <w:r w:rsidDel="00000000" w:rsidR="00000000" w:rsidRPr="00000000">
        <w:fldChar w:fldCharType="end"/>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160" w:line="259" w:lineRule="auto"/>
      <w:jc w:val="center"/>
      <w:rPr/>
    </w:pPr>
    <w:r w:rsidDel="00000000" w:rsidR="00000000" w:rsidRPr="00000000">
      <w:rPr>
        <w:rFonts w:ascii="Calibri" w:cs="Calibri" w:eastAsia="Calibri" w:hAnsi="Calibri"/>
      </w:rPr>
      <w:drawing>
        <wp:inline distB="114300" distT="114300" distL="114300" distR="114300">
          <wp:extent cx="2852738" cy="836147"/>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852738" cy="8361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caf.com/es/actualidad/convocatorias/2019/05/iii-convocatoria-internacional-caf-de-evaluaciones-de-impacto-para-una-mejor-gestion/?parent=6388"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